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outlineLvl w:val="0"/>
        <w:rPr>
          <w:rFonts w:eastAsia="华文楷体" w:cs="Times New Roman"/>
          <w:b/>
          <w:color w:val="000000"/>
          <w:sz w:val="28"/>
          <w:szCs w:val="28"/>
        </w:rPr>
      </w:pPr>
      <w:bookmarkStart w:id="0" w:name="_GoBack"/>
      <w:r>
        <w:rPr>
          <w:rFonts w:hint="eastAsia" w:eastAsia="华文楷体" w:cs="Times New Roman"/>
          <w:b/>
          <w:color w:val="000000"/>
          <w:sz w:val="32"/>
          <w:szCs w:val="32"/>
        </w:rPr>
        <w:t>附件一</w:t>
      </w:r>
      <w:bookmarkEnd w:id="0"/>
      <w:r>
        <w:rPr>
          <w:rFonts w:hint="eastAsia" w:eastAsia="华文楷体" w:cs="Times New Roman"/>
          <w:b/>
          <w:color w:val="000000"/>
          <w:sz w:val="32"/>
          <w:szCs w:val="32"/>
        </w:rPr>
        <w:t xml:space="preserve"> 稿件提纲与内容要求</w:t>
      </w:r>
      <w:r>
        <w:rPr>
          <w:rFonts w:hint="eastAsia" w:eastAsia="华文楷体" w:cs="Times New Roman"/>
          <w:b/>
          <w:color w:val="000000"/>
          <w:sz w:val="28"/>
          <w:szCs w:val="28"/>
        </w:rPr>
        <w:t>（包括但不限于以下内容）：</w:t>
      </w:r>
    </w:p>
    <w:p>
      <w:pPr>
        <w:keepNext/>
        <w:keepLines/>
        <w:spacing w:before="260" w:after="260" w:line="360" w:lineRule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国家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饮用水安全现状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综述该国家的基本情况，包括地理位置、海岸线长度、国土面积、水域率、人口、人均GDP、气候、水资源供应情况等。</w:t>
      </w:r>
    </w:p>
    <w:p>
      <w:pPr>
        <w:keepNext/>
        <w:keepLines/>
        <w:numPr>
          <w:ilvl w:val="0"/>
          <w:numId w:val="1"/>
        </w:numPr>
        <w:spacing w:before="260" w:after="260" w:line="36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饮用水水源状况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水资源总体状况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要求：综述该国家水源类型（降水、地下水、地表水等），各类型水源资源详情。例如，水资源总量、人均水资源量、降雨量、地表水流量、地下水储量等。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主要饮用水水源（主要饮用水水源类型，农村和城市的情况）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要求：分析农村和城市主要饮用水水源类型。例如管井、水井、河流或水库、雨水收集等。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水源污染与防护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要求：分析水源污染现状、主要的污染源、污染物等，针对水源污染采取的防护措施。可以典型区域或城市为代表。</w:t>
      </w:r>
    </w:p>
    <w:p>
      <w:pPr>
        <w:keepNext/>
        <w:keepLines/>
        <w:numPr>
          <w:ilvl w:val="0"/>
          <w:numId w:val="1"/>
        </w:numPr>
        <w:spacing w:before="260" w:after="260" w:line="36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饮用水安全监管状况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相关法律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要求：梳理水资源和饮用水相关的国家战略、政策、规划和措施。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相关标准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要求：整理现行的饮用水的国家标准、行业标准等。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供水运营模式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要求：梳理供水运营的国营、地方政府、民营、特许经营等模式。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监管体制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要求：整理该国水资源管理、饮用水质量监督机构与体系。</w:t>
      </w:r>
    </w:p>
    <w:p>
      <w:pPr>
        <w:keepNext/>
        <w:keepLines/>
        <w:numPr>
          <w:ilvl w:val="0"/>
          <w:numId w:val="1"/>
        </w:numPr>
        <w:spacing w:before="260" w:after="260" w:line="36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供水技术与基础设施现状（主要关注城市和农村居民用水的水质安全状况）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地表水和地下水的主要处理工艺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要求：调研该国针对地表水和地下水处理的工艺与技术，可以典型的水处理厂的工艺与技术为代表。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水处理设施基本情况（集中或分散供水情况）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要求：分析该国集中供水、分散供水等水处理设施基本情况，可以典型区域或城市为代表。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供水管网设施基本情况（集中或分散供水情况）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要求：分析该国集中供水、分散供水的管网设施情况，可以典型区域或城市为代表。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饮用水水质现状（达标情况）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要求：分析该国饮用水达标情况，可以典型区域或城市为代表。</w:t>
      </w:r>
    </w:p>
    <w:p>
      <w:pPr>
        <w:keepNext/>
        <w:keepLines/>
        <w:numPr>
          <w:ilvl w:val="1"/>
          <w:numId w:val="1"/>
        </w:numPr>
        <w:spacing w:before="240" w:after="120" w:line="360" w:lineRule="auto"/>
        <w:ind w:left="0" w:hanging="142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本国特殊性或典型情况</w:t>
      </w:r>
    </w:p>
    <w:p>
      <w:pPr>
        <w:keepNext/>
        <w:keepLines/>
        <w:numPr>
          <w:ilvl w:val="0"/>
          <w:numId w:val="1"/>
        </w:numPr>
        <w:spacing w:before="260" w:after="260" w:line="36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国际援助计划（相关项目）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要求：梳理UN、ADB、USAID等组织对该国的援助项目、援助或贷款经费等。</w:t>
      </w:r>
    </w:p>
    <w:p>
      <w:pPr>
        <w:keepNext/>
        <w:keepLines/>
        <w:numPr>
          <w:ilvl w:val="0"/>
          <w:numId w:val="1"/>
        </w:numPr>
        <w:spacing w:before="260" w:after="260" w:line="36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小结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要求：（1）总结该国在水安全方面的主要问题与挑战，包括水源污染的主要问题、技术和管理等方面的问题；（2）总结该国的技术需求、国际合作需求。</w:t>
      </w:r>
    </w:p>
    <w:p>
      <w:pPr>
        <w:keepNext/>
        <w:keepLines/>
        <w:numPr>
          <w:ilvl w:val="0"/>
          <w:numId w:val="1"/>
        </w:numPr>
        <w:spacing w:before="260" w:after="260" w:line="36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参考文献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引用的文字、数据和图片等，需注明参考文献。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参考书籍、报告和论文须在文中注明：作者、出版日期、书名、编辑姓名（如适用）、页码、出版商名称及出版地。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网络链接须在文中注明：信息发布机构、信息标题、发布时间、参考时间、网页链接。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参照GB/T 7714-2005《文后参考文献著录规则》。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示例：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[1] 何龄修. 读南明史[J]. 中国史研究, 1998, 6(3): 167-173.</w:t>
      </w:r>
    </w:p>
    <w:p>
      <w:pPr>
        <w:spacing w:line="500" w:lineRule="exact"/>
        <w:ind w:firstLine="560" w:firstLineChars="200"/>
        <w:jc w:val="left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ascii="Times New Roman" w:hAnsi="Times New Roman" w:eastAsia="仿宋"/>
          <w:sz w:val="28"/>
          <w:szCs w:val="28"/>
          <w:shd w:val="pct10" w:color="auto" w:fill="FFFFFF"/>
        </w:rPr>
        <w:t>[2] Commonwealth Libraries Bureau of Library Development. Pennsylvania Department of Education Office. Pennsylvania library Laws[EB/OL]. 2022[2013-03-24]. http://www.racc.edu/yo-cum/pdf/Palibrary Laws.pdf.</w:t>
      </w:r>
    </w:p>
    <w:p>
      <w:pPr>
        <w:spacing w:line="500" w:lineRule="exact"/>
        <w:ind w:firstLine="560" w:firstLineChars="200"/>
        <w:rPr>
          <w:rFonts w:ascii="Times New Roman" w:hAnsi="Times New Roman" w:eastAsia="仿宋"/>
          <w:sz w:val="28"/>
          <w:szCs w:val="28"/>
          <w:shd w:val="pct10" w:color="auto" w:fill="FFFFFF"/>
        </w:rPr>
      </w:pPr>
      <w:r>
        <w:rPr>
          <w:rFonts w:hint="eastAsia" w:ascii="Times New Roman" w:hAnsi="Times New Roman" w:eastAsia="仿宋"/>
          <w:sz w:val="28"/>
          <w:szCs w:val="28"/>
          <w:shd w:val="pct10" w:color="auto" w:fill="FFFFFF"/>
        </w:rPr>
        <w:t>[3] 马欢. 人类活动影响下海河流域典型区水循环变化分析[D]. 北京: 北京大学, 2011.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806678"/>
    <w:multiLevelType w:val="multilevel"/>
    <w:tmpl w:val="5E80667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MmVhM2UyMzUwNmFkNGUyZGUwOTIzZDQyMmU1YjgifQ=="/>
  </w:docVars>
  <w:rsids>
    <w:rsidRoot w:val="721473F1"/>
    <w:rsid w:val="721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2022-05-30T08:43:00Z</dcterms:created>
  <dc:creator>qingyun2022</dc:creator>
  <cp:lastModifiedBy>qingyun2022</cp:lastModifiedBy>
  <dcterms:modified xsi:type="dcterms:W3CDTF">2022-05-30T08:43:51Z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8D246CEEAF7A4DFE964041EF3D2FD83E</vt:lpwstr>
  </property>
</Properties>
</file>